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domen a split payment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listopada br. wchodzi w życie nowelizacja Ustawy o VAT. Czy to oznacza zmiany w płatnościach na rynku domenowym?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zmiany w podatku VAT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najnowszej nowelizacji ustawy o VAT obowiązek stosowania split payment nastąpi, jeśli u podatnika łącznie spełnionych będzie kilka warunków: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wartość brutto transakcji wynosi powyżej 15 tys. zł lub równowartość tej kwoty,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co najmniej jedna pozycja z faktury zawarta została w załączniku 15 znowelizowanej ustawy o VAT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sprzedawca oraz odbiorca są podatnikami (transakcja B2B, niezależnie czy nabywcą jest podatnik VAT czynny czy zwolniony).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znaczenie ma tutaj załącznik 15 do Ustawy o VAT.</w:t>
      </w:r>
      <w:r>
        <w:rPr>
          <w:rFonts w:ascii="calibri" w:hAnsi="calibri" w:eastAsia="calibri" w:cs="calibri"/>
          <w:sz w:val="24"/>
          <w:szCs w:val="24"/>
          <w:b/>
        </w:rPr>
        <w:t xml:space="preserve"> Usługi rejestracji i odnowień domen a także usługi hostingowe i inne usługi e-commerce nie znajdują się</w:t>
      </w:r>
      <w:r>
        <w:rPr>
          <w:rFonts w:ascii="calibri" w:hAnsi="calibri" w:eastAsia="calibri" w:cs="calibri"/>
          <w:sz w:val="24"/>
          <w:szCs w:val="24"/>
        </w:rPr>
        <w:t xml:space="preserve"> bowiem na liście pozycji objętych obowiązkowym split paymentem.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Oznacza to, że nowe zapisy NIE DOTYCZĄ usług typowych dla rejestratorów nazw domen.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zmian dotyczących metody płatności podzielonej jest kilka, warto przypomnieć, iż od 1 stycznia 2020 roku dla wszelkich płatności powyżej 15 tys. złotych brutto należy sprawdzać, czy odbiorą płatności widnieje na tzw. białej liście podatników VAT: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https://www.podatki.gov.pl/wykaz-podatnikow-vat-wyszukiwarka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Przypominamy, iż wszystkie rachunki HRD.pl zostały zgłoszone do białej listy podatników VAT. Biorąc pod uwagę powyższe oraz charakter oferowanych przez HRD.pl usług, </w:t>
      </w:r>
      <w:r>
        <w:rPr>
          <w:rFonts w:ascii="calibri" w:hAnsi="calibri" w:eastAsia="calibri" w:cs="calibri"/>
          <w:sz w:val="24"/>
          <w:szCs w:val="24"/>
          <w:b/>
        </w:rPr>
        <w:t xml:space="preserve">Partnerów korzystających z programu hurtowego nie obowiązuje metoda płatności podzielonej bez względu na wysokość wpłacanej do HRD.pl zaliczki.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2024-04-16T10:49:50+02:00</dcterms:created>
  <dcterms:modified xsi:type="dcterms:W3CDTF">2024-04-16T10:49:50+02:00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